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0CFEF" w14:textId="51D695CE" w:rsidR="0040021D" w:rsidRPr="00E23C2E" w:rsidRDefault="002C3AE4" w:rsidP="002C3AE4">
      <w:pPr>
        <w:pStyle w:val="Geenafstand"/>
        <w:rPr>
          <w:rFonts w:ascii="AZGCaspariT" w:hAnsi="AZGCaspariT"/>
          <w:b/>
          <w:sz w:val="24"/>
          <w:szCs w:val="24"/>
        </w:rPr>
      </w:pPr>
      <w:proofErr w:type="spellStart"/>
      <w:r w:rsidRPr="00E23C2E">
        <w:rPr>
          <w:rFonts w:ascii="AZGCaspariT" w:hAnsi="AZGCaspariT"/>
          <w:b/>
          <w:sz w:val="24"/>
          <w:szCs w:val="24"/>
        </w:rPr>
        <w:t>Adalimumab</w:t>
      </w:r>
      <w:proofErr w:type="spellEnd"/>
      <w:r w:rsidRPr="00E23C2E">
        <w:rPr>
          <w:rFonts w:ascii="AZGCaspariT" w:hAnsi="AZGCaspariT"/>
          <w:b/>
          <w:sz w:val="24"/>
          <w:szCs w:val="24"/>
        </w:rPr>
        <w:t xml:space="preserve"> (</w:t>
      </w:r>
      <w:proofErr w:type="spellStart"/>
      <w:r w:rsidRPr="00E23C2E">
        <w:rPr>
          <w:rFonts w:ascii="AZGCaspariT" w:hAnsi="AZGCaspariT"/>
          <w:b/>
          <w:sz w:val="24"/>
          <w:szCs w:val="24"/>
        </w:rPr>
        <w:t>Humira</w:t>
      </w:r>
      <w:proofErr w:type="spellEnd"/>
      <w:r w:rsidRPr="00E23C2E">
        <w:rPr>
          <w:rFonts w:ascii="AZGCaspariT" w:hAnsi="AZGCaspariT"/>
          <w:b/>
          <w:sz w:val="24"/>
          <w:szCs w:val="24"/>
        </w:rPr>
        <w:t>®</w:t>
      </w:r>
      <w:r w:rsidR="00EA0DF5">
        <w:rPr>
          <w:rFonts w:ascii="AZGCaspariT" w:hAnsi="AZGCaspariT"/>
          <w:b/>
          <w:sz w:val="24"/>
          <w:szCs w:val="24"/>
        </w:rPr>
        <w:t xml:space="preserve">, </w:t>
      </w:r>
      <w:proofErr w:type="spellStart"/>
      <w:r w:rsidR="00EA0DF5">
        <w:rPr>
          <w:rFonts w:ascii="AZGCaspariT" w:hAnsi="AZGCaspariT"/>
          <w:b/>
          <w:sz w:val="24"/>
          <w:szCs w:val="24"/>
        </w:rPr>
        <w:t>Hyrimoz</w:t>
      </w:r>
      <w:proofErr w:type="spellEnd"/>
      <w:r w:rsidR="00EA0DF5">
        <w:rPr>
          <w:rFonts w:ascii="AZGCaspariT" w:hAnsi="AZGCaspariT"/>
          <w:b/>
          <w:sz w:val="24"/>
          <w:szCs w:val="24"/>
        </w:rPr>
        <w:t>®</w:t>
      </w:r>
      <w:r w:rsidRPr="00E23C2E">
        <w:rPr>
          <w:rFonts w:ascii="AZGCaspariT" w:hAnsi="AZGCaspariT"/>
          <w:b/>
          <w:sz w:val="24"/>
          <w:szCs w:val="24"/>
        </w:rPr>
        <w:t xml:space="preserve">) </w:t>
      </w:r>
    </w:p>
    <w:p w14:paraId="2615CB02" w14:textId="77777777" w:rsidR="002C3AE4" w:rsidRPr="00E23C2E" w:rsidRDefault="002C3AE4" w:rsidP="002C3AE4">
      <w:pPr>
        <w:pStyle w:val="Geenafstand"/>
        <w:rPr>
          <w:rFonts w:ascii="AZGCaspariT" w:hAnsi="AZGCaspariT"/>
        </w:rPr>
      </w:pPr>
    </w:p>
    <w:p w14:paraId="2D19D4A2" w14:textId="77777777" w:rsidR="002C3AE4" w:rsidRPr="00E23C2E" w:rsidRDefault="007333A4" w:rsidP="002C3AE4">
      <w:pPr>
        <w:pStyle w:val="Geenafstand"/>
        <w:rPr>
          <w:rFonts w:ascii="AZGCaspariT" w:hAnsi="AZGCaspariT"/>
        </w:rPr>
      </w:pPr>
      <w:r w:rsidRPr="00E23C2E">
        <w:rPr>
          <w:rFonts w:ascii="AZGCaspariT" w:hAnsi="AZGCaspariT"/>
        </w:rPr>
        <w:t xml:space="preserve"> Adalimumab is </w:t>
      </w:r>
      <w:r w:rsidR="002B2CFF" w:rsidRPr="00E23C2E">
        <w:rPr>
          <w:rFonts w:ascii="AZGCaspariT" w:hAnsi="AZGCaspariT"/>
        </w:rPr>
        <w:t>een medicijn dat de werking van</w:t>
      </w:r>
      <w:r w:rsidRPr="00E23C2E">
        <w:rPr>
          <w:rFonts w:ascii="AZGCaspariT" w:hAnsi="AZGCaspariT"/>
        </w:rPr>
        <w:t xml:space="preserve"> Tumor Necrosis Factor-alpha (TNF-</w:t>
      </w:r>
      <w:r w:rsidRPr="00E23C2E">
        <w:t>α</w:t>
      </w:r>
      <w:r w:rsidRPr="00E23C2E">
        <w:rPr>
          <w:rFonts w:ascii="AZGCaspariT" w:hAnsi="AZGCaspariT"/>
        </w:rPr>
        <w:t>). TNF-</w:t>
      </w:r>
      <w:r w:rsidRPr="00E23C2E">
        <w:t>α</w:t>
      </w:r>
      <w:r w:rsidRPr="00E23C2E">
        <w:rPr>
          <w:rFonts w:ascii="AZGCaspariT" w:hAnsi="AZGCaspariT"/>
        </w:rPr>
        <w:t xml:space="preserve"> speelt een belangrijke rol in ontstekingsprocessen (zoals gewrichtsontsteking) bij verschillende </w:t>
      </w:r>
      <w:r w:rsidR="00B07F82" w:rsidRPr="00E23C2E">
        <w:rPr>
          <w:rFonts w:ascii="AZGCaspariT" w:hAnsi="AZGCaspariT"/>
        </w:rPr>
        <w:t>reumatologisch</w:t>
      </w:r>
      <w:r w:rsidRPr="00E23C2E">
        <w:rPr>
          <w:rFonts w:ascii="AZGCaspariT" w:hAnsi="AZGCaspariT"/>
        </w:rPr>
        <w:t xml:space="preserve"> aandoeningen.</w:t>
      </w:r>
    </w:p>
    <w:p w14:paraId="52FF1A93" w14:textId="77777777" w:rsidR="00B07F82" w:rsidRPr="00E23C2E" w:rsidRDefault="00B07F82" w:rsidP="002C3AE4">
      <w:pPr>
        <w:pStyle w:val="Geenafstand"/>
        <w:rPr>
          <w:rFonts w:ascii="AZGCaspariT" w:hAnsi="AZGCaspariT"/>
          <w:b/>
        </w:rPr>
      </w:pPr>
    </w:p>
    <w:p w14:paraId="1FAB5D6F" w14:textId="77777777" w:rsidR="002C3AE4" w:rsidRPr="00E23C2E" w:rsidRDefault="002C3AE4" w:rsidP="002C3AE4">
      <w:pPr>
        <w:pStyle w:val="Geenafstand"/>
        <w:rPr>
          <w:rFonts w:ascii="AZGCaspariT" w:hAnsi="AZGCaspariT"/>
          <w:b/>
        </w:rPr>
      </w:pPr>
      <w:r w:rsidRPr="00E23C2E">
        <w:rPr>
          <w:rFonts w:ascii="AZGCaspariT" w:hAnsi="AZGCaspariT"/>
          <w:b/>
        </w:rPr>
        <w:t>Hoe dit geneesmiddel wordt toegediend</w:t>
      </w:r>
    </w:p>
    <w:p w14:paraId="0C2C319C" w14:textId="77777777" w:rsidR="002C3AE4" w:rsidRPr="00E23C2E" w:rsidRDefault="002C3AE4" w:rsidP="002C3AE4">
      <w:pPr>
        <w:pStyle w:val="Geenafstand"/>
        <w:rPr>
          <w:rFonts w:ascii="AZGCaspariT" w:hAnsi="AZGCaspariT"/>
        </w:rPr>
      </w:pPr>
      <w:proofErr w:type="spellStart"/>
      <w:r w:rsidRPr="00E23C2E">
        <w:rPr>
          <w:rFonts w:ascii="AZGCaspariT" w:hAnsi="AZGCaspariT"/>
        </w:rPr>
        <w:t>Adalimumab</w:t>
      </w:r>
      <w:proofErr w:type="spellEnd"/>
      <w:r w:rsidRPr="00E23C2E">
        <w:rPr>
          <w:rFonts w:ascii="AZGCaspariT" w:hAnsi="AZGCaspariT"/>
        </w:rPr>
        <w:t xml:space="preserve"> wordt </w:t>
      </w:r>
      <w:r w:rsidR="00942621" w:rsidRPr="00E23C2E">
        <w:rPr>
          <w:rFonts w:ascii="AZGCaspariT" w:hAnsi="AZGCaspariT"/>
        </w:rPr>
        <w:t xml:space="preserve">eens </w:t>
      </w:r>
      <w:r w:rsidRPr="00E23C2E">
        <w:rPr>
          <w:rFonts w:ascii="AZGCaspariT" w:hAnsi="AZGCaspariT"/>
        </w:rPr>
        <w:t xml:space="preserve">per twee weken toegediend </w:t>
      </w:r>
      <w:r w:rsidR="00942621" w:rsidRPr="00E23C2E">
        <w:rPr>
          <w:rFonts w:ascii="AZGCaspariT" w:hAnsi="AZGCaspariT"/>
        </w:rPr>
        <w:t xml:space="preserve">als injectie onder </w:t>
      </w:r>
      <w:r w:rsidRPr="00E23C2E">
        <w:rPr>
          <w:rFonts w:ascii="AZGCaspariT" w:hAnsi="AZGCaspariT"/>
        </w:rPr>
        <w:t xml:space="preserve">de huid. </w:t>
      </w:r>
    </w:p>
    <w:p w14:paraId="1677EFB0" w14:textId="77777777" w:rsidR="002C3AE4" w:rsidRPr="00E23C2E" w:rsidRDefault="002C3AE4" w:rsidP="002C3AE4">
      <w:pPr>
        <w:pStyle w:val="Geenafstand"/>
        <w:rPr>
          <w:rFonts w:ascii="AZGCaspariT" w:hAnsi="AZGCaspariT"/>
        </w:rPr>
      </w:pPr>
      <w:r w:rsidRPr="00E23C2E">
        <w:rPr>
          <w:rFonts w:ascii="AZGCaspariT" w:hAnsi="AZGCaspariT"/>
        </w:rPr>
        <w:t>De injectie wordt toegediend door u zelf. Hoewel het misschien een eng idee is, blijkt het zelf spuiten in de praktijk erg mee te vallen en goed aan te leren. U ontvangt</w:t>
      </w:r>
      <w:r w:rsidR="001550B8" w:rsidRPr="00E23C2E">
        <w:rPr>
          <w:rFonts w:ascii="AZGCaspariT" w:hAnsi="AZGCaspariT"/>
        </w:rPr>
        <w:t xml:space="preserve"> </w:t>
      </w:r>
      <w:r w:rsidRPr="00E23C2E">
        <w:rPr>
          <w:rFonts w:ascii="AZGCaspariT" w:hAnsi="AZGCaspariT"/>
        </w:rPr>
        <w:t xml:space="preserve">instructies </w:t>
      </w:r>
      <w:r w:rsidR="00942621" w:rsidRPr="00E23C2E">
        <w:rPr>
          <w:rFonts w:ascii="AZGCaspariT" w:hAnsi="AZGCaspariT"/>
        </w:rPr>
        <w:t xml:space="preserve">over de injectietechniek </w:t>
      </w:r>
      <w:r w:rsidRPr="00E23C2E">
        <w:rPr>
          <w:rFonts w:ascii="AZGCaspariT" w:hAnsi="AZGCaspariT"/>
        </w:rPr>
        <w:t>van een verpleegkundige</w:t>
      </w:r>
      <w:r w:rsidR="00942621" w:rsidRPr="00E23C2E">
        <w:rPr>
          <w:rFonts w:ascii="AZGCaspariT" w:hAnsi="AZGCaspariT"/>
        </w:rPr>
        <w:t>, zij komt eenmalig bij u thuis.</w:t>
      </w:r>
      <w:r w:rsidRPr="00E23C2E">
        <w:rPr>
          <w:rFonts w:ascii="AZGCaspariT" w:hAnsi="AZGCaspariT"/>
        </w:rPr>
        <w:t xml:space="preserve"> In uitzonderlijke gevallen kan iemand in uw omgeving de injecties toedienen. Wanneer u hulp van iemand anders krijgt bij het injecteren is het noodzakelijk dat deze persoon eveneens getraind is. </w:t>
      </w:r>
    </w:p>
    <w:p w14:paraId="1232E764" w14:textId="77777777" w:rsidR="00AD3DF8" w:rsidRPr="00E23C2E" w:rsidRDefault="00AD3DF8" w:rsidP="00AD3DF8">
      <w:pPr>
        <w:pStyle w:val="Geenafstand"/>
        <w:rPr>
          <w:rFonts w:ascii="AZGCaspariT" w:hAnsi="AZGCaspariT"/>
        </w:rPr>
      </w:pPr>
    </w:p>
    <w:p w14:paraId="45E3A080" w14:textId="77777777" w:rsidR="00942621" w:rsidRPr="00E23C2E" w:rsidRDefault="00942621" w:rsidP="00942621">
      <w:pPr>
        <w:pStyle w:val="Geenafstand"/>
        <w:rPr>
          <w:rFonts w:ascii="AZGCaspariT" w:hAnsi="AZGCaspariT"/>
        </w:rPr>
      </w:pPr>
      <w:r w:rsidRPr="00E23C2E">
        <w:rPr>
          <w:rFonts w:ascii="AZGCaspariT" w:hAnsi="AZGCaspariT"/>
        </w:rPr>
        <w:t>Soms ervaren patienten een pijnlijk gevoel op de injectieplaats als de toegediende vloeistof niet op kamertemperatuur is.</w:t>
      </w:r>
    </w:p>
    <w:p w14:paraId="489118AE" w14:textId="77777777" w:rsidR="00942621" w:rsidRPr="00E23C2E" w:rsidRDefault="00942621" w:rsidP="00942621">
      <w:pPr>
        <w:pStyle w:val="Geenafstand"/>
        <w:rPr>
          <w:rFonts w:ascii="AZGCaspariT" w:hAnsi="AZGCaspariT"/>
        </w:rPr>
      </w:pPr>
      <w:r w:rsidRPr="00E23C2E">
        <w:rPr>
          <w:rFonts w:ascii="AZGCaspariT" w:hAnsi="AZGCaspariT"/>
        </w:rPr>
        <w:t xml:space="preserve">Voor een minder pijnlijke injectie kunt u de voorgevulde spuit op kamertemperatuur laten komen (30 minuten buiten de koelkast) of enkele minuten voorzichtig in uw handen houden. Op geen enkele manier Adalimumab opwarmen (bijvoorbeeld niet opwarmen in de magnetron of in warm water). </w:t>
      </w:r>
    </w:p>
    <w:p w14:paraId="016C9E50" w14:textId="77777777" w:rsidR="00AD3DF8" w:rsidRPr="00E23C2E" w:rsidRDefault="00AD3DF8" w:rsidP="002C3AE4">
      <w:pPr>
        <w:pStyle w:val="Geenafstand"/>
        <w:rPr>
          <w:rFonts w:ascii="AZGCaspariT" w:hAnsi="AZGCaspariT"/>
          <w:b/>
        </w:rPr>
      </w:pPr>
    </w:p>
    <w:p w14:paraId="3F020109" w14:textId="77777777" w:rsidR="002C3AE4" w:rsidRPr="00E23C2E" w:rsidRDefault="002C3AE4" w:rsidP="002C3AE4">
      <w:pPr>
        <w:pStyle w:val="Geenafstand"/>
        <w:rPr>
          <w:rFonts w:ascii="AZGCaspariT" w:hAnsi="AZGCaspariT"/>
          <w:b/>
        </w:rPr>
      </w:pPr>
      <w:r w:rsidRPr="00E23C2E">
        <w:rPr>
          <w:rFonts w:ascii="AZGCaspariT" w:hAnsi="AZGCaspariT"/>
          <w:b/>
        </w:rPr>
        <w:t>Moment van werking</w:t>
      </w:r>
    </w:p>
    <w:p w14:paraId="4AEE82EC" w14:textId="77777777" w:rsidR="00E30188" w:rsidRPr="00E23C2E" w:rsidRDefault="00942621" w:rsidP="002C3AE4">
      <w:pPr>
        <w:pStyle w:val="Geenafstand"/>
        <w:rPr>
          <w:rFonts w:ascii="AZGCaspariT" w:hAnsi="AZGCaspariT"/>
        </w:rPr>
      </w:pPr>
      <w:r w:rsidRPr="00E23C2E">
        <w:rPr>
          <w:rFonts w:ascii="AZGCaspariT" w:hAnsi="AZGCaspariT"/>
        </w:rPr>
        <w:t xml:space="preserve">U merkt waarschijnlijk niet meteen het effect van Adalimumab, dit kan een aantal weken duren. U bespreekt op de polikliniek met uw behandelaar of het medicijn het gewenste effect heeft. U heeft ongeveer drie tot vier maanden na het starten van de biological een eerste afspraak hierover op de polikliniek.  </w:t>
      </w:r>
    </w:p>
    <w:p w14:paraId="3B217612" w14:textId="77777777" w:rsidR="00B07F82" w:rsidRPr="00E23C2E" w:rsidRDefault="00B07F82" w:rsidP="002C3AE4">
      <w:pPr>
        <w:pStyle w:val="Geenafstand"/>
        <w:rPr>
          <w:rFonts w:ascii="AZGCaspariT" w:hAnsi="AZGCaspariT"/>
          <w:b/>
        </w:rPr>
      </w:pPr>
    </w:p>
    <w:p w14:paraId="0DBB5E51" w14:textId="77777777" w:rsidR="002C3AE4" w:rsidRPr="00E23C2E" w:rsidRDefault="002C3AE4" w:rsidP="002C3AE4">
      <w:pPr>
        <w:pStyle w:val="Geenafstand"/>
        <w:rPr>
          <w:rFonts w:ascii="AZGCaspariT" w:hAnsi="AZGCaspariT"/>
          <w:b/>
        </w:rPr>
      </w:pPr>
      <w:r w:rsidRPr="00E23C2E">
        <w:rPr>
          <w:rFonts w:ascii="AZGCaspariT" w:hAnsi="AZGCaspariT"/>
          <w:b/>
        </w:rPr>
        <w:t xml:space="preserve">Lees voor gebruik de bijsluiter </w:t>
      </w:r>
    </w:p>
    <w:p w14:paraId="681E11BB" w14:textId="77777777" w:rsidR="002C3AE4" w:rsidRPr="00E23C2E" w:rsidRDefault="002C3AE4" w:rsidP="002C3AE4">
      <w:pPr>
        <w:pStyle w:val="Geenafstand"/>
        <w:rPr>
          <w:rFonts w:ascii="AZGCaspariT" w:hAnsi="AZGCaspariT"/>
        </w:rPr>
      </w:pPr>
      <w:r w:rsidRPr="00E23C2E">
        <w:rPr>
          <w:rFonts w:ascii="AZGCaspariT" w:hAnsi="AZGCaspariT"/>
        </w:rPr>
        <w:t>Het is belangrijk om voor gebruik van het geneesmiddel altijd eerst de bijsluiter goed te lezen. De bijsluiter is een aanvulling op de informatie die de behandelaar aan de patiënt geeft. Zijn er na het lezen van de bijsluiter nog vragen, raadpleeg dan uw behandelaar of apotheker.</w:t>
      </w:r>
    </w:p>
    <w:p w14:paraId="649B17A3" w14:textId="77777777" w:rsidR="002C3AE4" w:rsidRPr="00E23C2E" w:rsidRDefault="002C3AE4" w:rsidP="002C3AE4">
      <w:pPr>
        <w:pStyle w:val="Geenafstand"/>
        <w:rPr>
          <w:rFonts w:ascii="AZGCaspariT" w:hAnsi="AZGCaspariT"/>
        </w:rPr>
      </w:pPr>
    </w:p>
    <w:p w14:paraId="2CE6A6DA" w14:textId="77777777" w:rsidR="002C3AE4" w:rsidRPr="00E23C2E" w:rsidRDefault="002C3AE4" w:rsidP="002C3AE4">
      <w:pPr>
        <w:pStyle w:val="Geenafstand"/>
        <w:rPr>
          <w:rFonts w:ascii="AZGCaspariT" w:hAnsi="AZGCaspariT"/>
          <w:b/>
        </w:rPr>
      </w:pPr>
      <w:r w:rsidRPr="00E23C2E">
        <w:rPr>
          <w:rFonts w:ascii="AZGCaspariT" w:hAnsi="AZGCaspariT"/>
          <w:b/>
        </w:rPr>
        <w:t>Specifieke bijwerking</w:t>
      </w:r>
    </w:p>
    <w:p w14:paraId="279BBC7C" w14:textId="77777777" w:rsidR="00E30188" w:rsidRPr="00E23C2E" w:rsidRDefault="00E30188" w:rsidP="00E30188">
      <w:pPr>
        <w:pStyle w:val="Geenafstand"/>
        <w:rPr>
          <w:rFonts w:ascii="AZGCaspariT" w:hAnsi="AZGCaspariT"/>
        </w:rPr>
      </w:pPr>
      <w:r w:rsidRPr="00E23C2E">
        <w:rPr>
          <w:rFonts w:ascii="AZGCaspariT" w:hAnsi="AZGCaspariT"/>
        </w:rPr>
        <w:t xml:space="preserve">Er kan een huidreactie </w:t>
      </w:r>
      <w:r w:rsidR="00942621" w:rsidRPr="00E23C2E">
        <w:rPr>
          <w:rFonts w:ascii="AZGCaspariT" w:hAnsi="AZGCaspariT"/>
        </w:rPr>
        <w:t xml:space="preserve">in de vorm </w:t>
      </w:r>
      <w:r w:rsidRPr="00E23C2E">
        <w:rPr>
          <w:rFonts w:ascii="AZGCaspariT" w:hAnsi="AZGCaspariT"/>
        </w:rPr>
        <w:t>van roodheid, zwelling en/of jeuk optreden rond de plaats waar u de injectie heeft toegediend. Dit treedt vaak in de eerste maand na start van de behandeling op en neemt af in de loop der tijd. Er zijn een aantal dingen die u hiertegen kunt doen:</w:t>
      </w:r>
    </w:p>
    <w:p w14:paraId="1C9A98DF" w14:textId="77777777" w:rsidR="00E30188" w:rsidRPr="00E23C2E" w:rsidRDefault="00E30188" w:rsidP="00E30188">
      <w:pPr>
        <w:pStyle w:val="Geenafstand"/>
        <w:numPr>
          <w:ilvl w:val="0"/>
          <w:numId w:val="1"/>
        </w:numPr>
        <w:rPr>
          <w:rFonts w:ascii="AZGCaspariT" w:hAnsi="AZGCaspariT"/>
        </w:rPr>
      </w:pPr>
      <w:r w:rsidRPr="00E23C2E">
        <w:rPr>
          <w:rFonts w:ascii="AZGCaspariT" w:hAnsi="AZGCaspariT"/>
        </w:rPr>
        <w:t xml:space="preserve">Koelen van de injectieplek voorafgaand aan </w:t>
      </w:r>
      <w:r w:rsidR="001B502F" w:rsidRPr="00E23C2E">
        <w:rPr>
          <w:rFonts w:ascii="AZGCaspariT" w:hAnsi="AZGCaspariT"/>
        </w:rPr>
        <w:t>het prikken en na het injecteren</w:t>
      </w:r>
      <w:r w:rsidR="00E23C2E" w:rsidRPr="00E23C2E">
        <w:rPr>
          <w:rFonts w:ascii="AZGCaspariT" w:hAnsi="AZGCaspariT"/>
        </w:rPr>
        <w:t>.</w:t>
      </w:r>
    </w:p>
    <w:p w14:paraId="71E762D9" w14:textId="77777777" w:rsidR="00E30188" w:rsidRPr="00E23C2E" w:rsidRDefault="00E30188" w:rsidP="00E30188">
      <w:pPr>
        <w:pStyle w:val="Geenafstand"/>
        <w:numPr>
          <w:ilvl w:val="0"/>
          <w:numId w:val="1"/>
        </w:numPr>
        <w:rPr>
          <w:rFonts w:ascii="AZGCaspariT" w:hAnsi="AZGCaspariT"/>
        </w:rPr>
      </w:pPr>
      <w:r w:rsidRPr="00E23C2E">
        <w:rPr>
          <w:rFonts w:ascii="AZGCaspariT" w:hAnsi="AZGCaspariT"/>
        </w:rPr>
        <w:t>Als dit niet afdoende is kunt u een uur voorafgaand aan de prik 1000 mg paracetamol innemen en dit zonodig à 4 uur herhalen totdat de huidreactie is afgezakt.</w:t>
      </w:r>
    </w:p>
    <w:p w14:paraId="54C815BE" w14:textId="77777777" w:rsidR="00E30188" w:rsidRPr="00E23C2E" w:rsidRDefault="00E30188" w:rsidP="00E30188">
      <w:pPr>
        <w:pStyle w:val="Geenafstand"/>
        <w:ind w:left="720"/>
        <w:rPr>
          <w:rFonts w:ascii="AZGCaspariT" w:hAnsi="AZGCaspariT"/>
        </w:rPr>
      </w:pPr>
      <w:r w:rsidRPr="00E23C2E">
        <w:rPr>
          <w:rFonts w:ascii="AZGCaspariT" w:hAnsi="AZGCaspariT"/>
        </w:rPr>
        <w:t>Let op: dit mag alleen als u nog geen paracetamol gebruikte. De maximaal toegestane dosering per dag is driemaal 1000 mg. Meldt dit wel aan uw behandelaar</w:t>
      </w:r>
    </w:p>
    <w:p w14:paraId="1AF6FE0E" w14:textId="77777777" w:rsidR="002C3AE4" w:rsidRPr="00E23C2E" w:rsidRDefault="00E30188" w:rsidP="002C3AE4">
      <w:pPr>
        <w:pStyle w:val="Geenafstand"/>
        <w:rPr>
          <w:rFonts w:ascii="AZGCaspariT" w:hAnsi="AZGCaspariT"/>
        </w:rPr>
      </w:pPr>
      <w:r w:rsidRPr="00E23C2E">
        <w:rPr>
          <w:rFonts w:ascii="AZGCaspariT" w:hAnsi="AZGCaspariT"/>
        </w:rPr>
        <w:t xml:space="preserve">Meestal </w:t>
      </w:r>
      <w:r w:rsidR="00942621" w:rsidRPr="00E23C2E">
        <w:rPr>
          <w:rFonts w:ascii="AZGCaspariT" w:hAnsi="AZGCaspariT"/>
        </w:rPr>
        <w:t>verdwijnen deze huidreacties na een paar weken</w:t>
      </w:r>
      <w:r w:rsidRPr="00E23C2E">
        <w:rPr>
          <w:rFonts w:ascii="AZGCaspariT" w:hAnsi="AZGCaspariT"/>
        </w:rPr>
        <w:t>. Mocht de reactie toenemen dan is het dringend advies om contact op te nemen met uw huisarts of behandelaar.</w:t>
      </w:r>
    </w:p>
    <w:p w14:paraId="107D255F" w14:textId="77777777" w:rsidR="002C3AE4" w:rsidRDefault="002C3AE4" w:rsidP="002C3AE4">
      <w:pPr>
        <w:pStyle w:val="Geenafstand"/>
      </w:pPr>
    </w:p>
    <w:sectPr w:rsidR="002C3AE4" w:rsidSect="004002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B7DD6" w14:textId="77777777" w:rsidR="002B2CFF" w:rsidRDefault="002B2CFF" w:rsidP="00223916">
      <w:pPr>
        <w:spacing w:after="0" w:line="240" w:lineRule="auto"/>
      </w:pPr>
      <w:r>
        <w:separator/>
      </w:r>
    </w:p>
  </w:endnote>
  <w:endnote w:type="continuationSeparator" w:id="0">
    <w:p w14:paraId="3D4BC5EC" w14:textId="77777777" w:rsidR="002B2CFF" w:rsidRDefault="002B2CFF" w:rsidP="0022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ZGCaspariT">
    <w:panose1 w:val="02000503040000020003"/>
    <w:charset w:val="00"/>
    <w:family w:val="auto"/>
    <w:pitch w:val="variable"/>
    <w:sig w:usb0="80000027" w:usb1="0000004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1C7E" w14:textId="460FFDAC" w:rsidR="002B2CFF" w:rsidRPr="00E23C2E" w:rsidRDefault="002B2CFF">
    <w:pPr>
      <w:pStyle w:val="Voettekst"/>
      <w:rPr>
        <w:rFonts w:ascii="AZGCaspariT" w:hAnsi="AZGCaspariT"/>
        <w:sz w:val="20"/>
        <w:szCs w:val="20"/>
      </w:rPr>
    </w:pPr>
    <w:r w:rsidRPr="00E23C2E">
      <w:rPr>
        <w:rFonts w:ascii="AZGCaspariT" w:hAnsi="AZGCaspariT"/>
        <w:sz w:val="20"/>
        <w:szCs w:val="20"/>
      </w:rPr>
      <w:t>versie 0.</w:t>
    </w:r>
    <w:r w:rsidR="00B35A66">
      <w:rPr>
        <w:rFonts w:ascii="AZGCaspariT" w:hAnsi="AZGCaspariT"/>
        <w:sz w:val="20"/>
        <w:szCs w:val="20"/>
      </w:rPr>
      <w:t>2</w:t>
    </w:r>
    <w:r w:rsidRPr="00E23C2E">
      <w:rPr>
        <w:rFonts w:ascii="AZGCaspariT" w:hAnsi="AZGCaspariT"/>
        <w:sz w:val="20"/>
        <w:szCs w:val="20"/>
      </w:rPr>
      <w:t xml:space="preserve"> </w:t>
    </w:r>
    <w:r w:rsidRPr="00E23C2E">
      <w:rPr>
        <w:rFonts w:ascii="AZGCaspariT" w:hAnsi="AZGCaspariT"/>
        <w:sz w:val="20"/>
        <w:szCs w:val="20"/>
      </w:rPr>
      <w:tab/>
    </w:r>
    <w:r w:rsidRPr="00E23C2E">
      <w:rPr>
        <w:rFonts w:ascii="AZGCaspariT" w:hAnsi="AZGCaspariT"/>
        <w:sz w:val="20"/>
        <w:szCs w:val="20"/>
      </w:rPr>
      <w:tab/>
    </w:r>
    <w:r w:rsidR="00B35A66">
      <w:rPr>
        <w:rFonts w:ascii="AZGCaspariT" w:hAnsi="AZGCaspariT"/>
        <w:sz w:val="20"/>
        <w:szCs w:val="20"/>
      </w:rPr>
      <w:t>15</w:t>
    </w:r>
    <w:r w:rsidRPr="00E23C2E">
      <w:rPr>
        <w:rFonts w:ascii="AZGCaspariT" w:hAnsi="AZGCaspariT"/>
        <w:sz w:val="20"/>
        <w:szCs w:val="20"/>
      </w:rPr>
      <w:t>-</w:t>
    </w:r>
    <w:r w:rsidR="00B35A66">
      <w:rPr>
        <w:rFonts w:ascii="AZGCaspariT" w:hAnsi="AZGCaspariT"/>
        <w:sz w:val="20"/>
        <w:szCs w:val="20"/>
      </w:rPr>
      <w:t>11-</w:t>
    </w:r>
    <w:r w:rsidRPr="00E23C2E">
      <w:rPr>
        <w:rFonts w:ascii="AZGCaspariT" w:hAnsi="AZGCaspariT"/>
        <w:sz w:val="20"/>
        <w:szCs w:val="20"/>
      </w:rPr>
      <w:t>20</w:t>
    </w:r>
    <w:r w:rsidR="00B35A66">
      <w:rPr>
        <w:rFonts w:ascii="AZGCaspariT" w:hAnsi="AZGCaspariT"/>
        <w:sz w:val="20"/>
        <w:szCs w:val="20"/>
      </w:rPr>
      <w:t>21</w:t>
    </w:r>
  </w:p>
  <w:p w14:paraId="0E77DE79" w14:textId="77777777" w:rsidR="002B2CFF" w:rsidRDefault="002B2C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F6F86" w14:textId="77777777" w:rsidR="002B2CFF" w:rsidRDefault="002B2CFF" w:rsidP="00223916">
      <w:pPr>
        <w:spacing w:after="0" w:line="240" w:lineRule="auto"/>
      </w:pPr>
      <w:r>
        <w:separator/>
      </w:r>
    </w:p>
  </w:footnote>
  <w:footnote w:type="continuationSeparator" w:id="0">
    <w:p w14:paraId="27A1BB4F" w14:textId="77777777" w:rsidR="002B2CFF" w:rsidRDefault="002B2CFF" w:rsidP="00223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70B6A"/>
    <w:multiLevelType w:val="hybridMultilevel"/>
    <w:tmpl w:val="949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3AE4"/>
    <w:rsid w:val="00017D72"/>
    <w:rsid w:val="0004507A"/>
    <w:rsid w:val="00045F6A"/>
    <w:rsid w:val="000707F1"/>
    <w:rsid w:val="000736C1"/>
    <w:rsid w:val="00073F73"/>
    <w:rsid w:val="00074950"/>
    <w:rsid w:val="00090B32"/>
    <w:rsid w:val="000C4111"/>
    <w:rsid w:val="000D08DF"/>
    <w:rsid w:val="000D1F2F"/>
    <w:rsid w:val="000D6FF5"/>
    <w:rsid w:val="001114C2"/>
    <w:rsid w:val="001137FA"/>
    <w:rsid w:val="00117157"/>
    <w:rsid w:val="00141CDD"/>
    <w:rsid w:val="001550B8"/>
    <w:rsid w:val="001974A3"/>
    <w:rsid w:val="001B502F"/>
    <w:rsid w:val="001D4335"/>
    <w:rsid w:val="001F7E52"/>
    <w:rsid w:val="00223916"/>
    <w:rsid w:val="00252581"/>
    <w:rsid w:val="002B2CFF"/>
    <w:rsid w:val="002C3AE4"/>
    <w:rsid w:val="002D0C61"/>
    <w:rsid w:val="002E2A70"/>
    <w:rsid w:val="003150D1"/>
    <w:rsid w:val="003C1A0A"/>
    <w:rsid w:val="003C7A18"/>
    <w:rsid w:val="003F5BEB"/>
    <w:rsid w:val="0040021D"/>
    <w:rsid w:val="00406E66"/>
    <w:rsid w:val="00422EDC"/>
    <w:rsid w:val="00454691"/>
    <w:rsid w:val="00471CA9"/>
    <w:rsid w:val="00484AAD"/>
    <w:rsid w:val="004A1A08"/>
    <w:rsid w:val="004D02BC"/>
    <w:rsid w:val="005103F9"/>
    <w:rsid w:val="005231C1"/>
    <w:rsid w:val="00572467"/>
    <w:rsid w:val="00575178"/>
    <w:rsid w:val="005D6A91"/>
    <w:rsid w:val="00623D3B"/>
    <w:rsid w:val="00642C49"/>
    <w:rsid w:val="006A1BAA"/>
    <w:rsid w:val="006A3CFB"/>
    <w:rsid w:val="007101C6"/>
    <w:rsid w:val="007232CA"/>
    <w:rsid w:val="007262CF"/>
    <w:rsid w:val="007333A4"/>
    <w:rsid w:val="007873AE"/>
    <w:rsid w:val="007D123C"/>
    <w:rsid w:val="007F6BF1"/>
    <w:rsid w:val="00847655"/>
    <w:rsid w:val="0086184E"/>
    <w:rsid w:val="008B2ABA"/>
    <w:rsid w:val="008C2550"/>
    <w:rsid w:val="008E19D5"/>
    <w:rsid w:val="008F06FD"/>
    <w:rsid w:val="00900FFC"/>
    <w:rsid w:val="00942621"/>
    <w:rsid w:val="00962345"/>
    <w:rsid w:val="00984F54"/>
    <w:rsid w:val="009B19AF"/>
    <w:rsid w:val="009B21C3"/>
    <w:rsid w:val="009E2517"/>
    <w:rsid w:val="00A30039"/>
    <w:rsid w:val="00A45FEB"/>
    <w:rsid w:val="00A54733"/>
    <w:rsid w:val="00A74B1D"/>
    <w:rsid w:val="00A8531D"/>
    <w:rsid w:val="00AA6AF2"/>
    <w:rsid w:val="00AB7CDD"/>
    <w:rsid w:val="00AD3DF8"/>
    <w:rsid w:val="00AD6083"/>
    <w:rsid w:val="00AD6700"/>
    <w:rsid w:val="00AE1AF2"/>
    <w:rsid w:val="00AF2FC5"/>
    <w:rsid w:val="00B07F82"/>
    <w:rsid w:val="00B312A4"/>
    <w:rsid w:val="00B35A66"/>
    <w:rsid w:val="00B539FC"/>
    <w:rsid w:val="00B619AD"/>
    <w:rsid w:val="00B84E6E"/>
    <w:rsid w:val="00B87AC4"/>
    <w:rsid w:val="00C47BB2"/>
    <w:rsid w:val="00C90D9F"/>
    <w:rsid w:val="00CF615D"/>
    <w:rsid w:val="00D1460D"/>
    <w:rsid w:val="00D16D4E"/>
    <w:rsid w:val="00D201BA"/>
    <w:rsid w:val="00D73CCD"/>
    <w:rsid w:val="00DE4997"/>
    <w:rsid w:val="00E04FE8"/>
    <w:rsid w:val="00E2361E"/>
    <w:rsid w:val="00E23C2E"/>
    <w:rsid w:val="00E30188"/>
    <w:rsid w:val="00EA0DF5"/>
    <w:rsid w:val="00EA5306"/>
    <w:rsid w:val="00EF04D2"/>
    <w:rsid w:val="00EF0D64"/>
    <w:rsid w:val="00EF58B8"/>
    <w:rsid w:val="00F7100F"/>
    <w:rsid w:val="00F72286"/>
    <w:rsid w:val="00F84DFF"/>
    <w:rsid w:val="00FE6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EDDA"/>
  <w15:docId w15:val="{E44CA812-FA20-4BD4-BBB7-996C9C53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02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3AE4"/>
    <w:pPr>
      <w:spacing w:after="0" w:line="240" w:lineRule="auto"/>
    </w:pPr>
  </w:style>
  <w:style w:type="paragraph" w:styleId="Koptekst">
    <w:name w:val="header"/>
    <w:basedOn w:val="Standaard"/>
    <w:link w:val="KoptekstChar"/>
    <w:uiPriority w:val="99"/>
    <w:unhideWhenUsed/>
    <w:rsid w:val="0022391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23916"/>
  </w:style>
  <w:style w:type="paragraph" w:styleId="Voettekst">
    <w:name w:val="footer"/>
    <w:basedOn w:val="Standaard"/>
    <w:link w:val="VoettekstChar"/>
    <w:uiPriority w:val="99"/>
    <w:unhideWhenUsed/>
    <w:rsid w:val="0022391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23916"/>
  </w:style>
  <w:style w:type="paragraph" w:styleId="Ballontekst">
    <w:name w:val="Balloon Text"/>
    <w:basedOn w:val="Standaard"/>
    <w:link w:val="BallontekstChar"/>
    <w:uiPriority w:val="99"/>
    <w:semiHidden/>
    <w:unhideWhenUsed/>
    <w:rsid w:val="002239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hollanderbm</dc:creator>
  <cp:keywords/>
  <dc:description/>
  <cp:lastModifiedBy>Hollander, BM (reuma)</cp:lastModifiedBy>
  <cp:revision>3</cp:revision>
  <cp:lastPrinted>2016-02-03T12:23:00Z</cp:lastPrinted>
  <dcterms:created xsi:type="dcterms:W3CDTF">2021-11-15T10:06:00Z</dcterms:created>
  <dcterms:modified xsi:type="dcterms:W3CDTF">2021-11-15T10:06:00Z</dcterms:modified>
</cp:coreProperties>
</file>